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ED" w:rsidRPr="00F150ED" w:rsidRDefault="00F150ED" w:rsidP="00F150ED">
      <w:pPr>
        <w:spacing w:before="100" w:beforeAutospacing="1" w:after="100" w:afterAutospacing="1" w:line="240" w:lineRule="auto"/>
        <w:ind w:right="432"/>
        <w:jc w:val="left"/>
        <w:rPr>
          <w:rFonts w:eastAsia="Times New Roman" w:cstheme="minorHAnsi"/>
          <w:szCs w:val="24"/>
          <w:lang w:val="de-DE" w:eastAsia="de-DE"/>
        </w:rPr>
      </w:pPr>
      <w:bookmarkStart w:id="0" w:name="_GoBack"/>
      <w:bookmarkEnd w:id="0"/>
      <w:r w:rsidRPr="00F150ED">
        <w:rPr>
          <w:rFonts w:cstheme="minorHAnsi"/>
          <w:bCs/>
          <w:szCs w:val="24"/>
          <w:lang w:val="de-DE"/>
        </w:rPr>
        <w:t>(A short version of</w:t>
      </w:r>
      <w:r>
        <w:rPr>
          <w:rFonts w:cstheme="minorHAnsi"/>
          <w:bCs/>
          <w:szCs w:val="24"/>
          <w:lang w:val="de-DE"/>
        </w:rPr>
        <w:t xml:space="preserve"> </w:t>
      </w:r>
      <w:r w:rsidRPr="00F150ED">
        <w:rPr>
          <w:rFonts w:cstheme="minorHAnsi"/>
          <w:bCs/>
          <w:szCs w:val="24"/>
          <w:lang w:val="de-DE"/>
        </w:rPr>
        <w:t>“</w:t>
      </w:r>
      <w:r w:rsidRPr="00F150ED">
        <w:rPr>
          <w:rFonts w:eastAsia="Times New Roman" w:cstheme="minorHAnsi"/>
          <w:szCs w:val="24"/>
          <w:lang w:val="de-DE" w:eastAsia="de-DE"/>
        </w:rPr>
        <w:t>Europa in Vielfalt einigen. Eine Denkschrift</w:t>
      </w:r>
      <w:r>
        <w:rPr>
          <w:rFonts w:eastAsia="Times New Roman" w:cstheme="minorHAnsi"/>
          <w:szCs w:val="24"/>
          <w:lang w:val="de-DE" w:eastAsia="de-DE"/>
        </w:rPr>
        <w:t>“</w:t>
      </w:r>
      <w:r w:rsidRPr="00F150ED">
        <w:rPr>
          <w:rFonts w:eastAsia="Times New Roman" w:cstheme="minorHAnsi"/>
          <w:szCs w:val="24"/>
          <w:lang w:val="de-DE" w:eastAsia="de-DE"/>
        </w:rPr>
        <w:t>, in: Nationalstaat und Europäische Union. Eine Bestandsaufnahme, hrsg. v. Anthony B. Atkinson, Peter M. Huber, Harold James, Fritz W. Scharpf, Baden-Baden 2016, S. 275-</w:t>
      </w:r>
      <w:r>
        <w:rPr>
          <w:rFonts w:eastAsia="Times New Roman" w:cstheme="minorHAnsi"/>
          <w:szCs w:val="24"/>
          <w:lang w:val="de-DE" w:eastAsia="de-DE"/>
        </w:rPr>
        <w:t>294)</w:t>
      </w:r>
    </w:p>
    <w:p w:rsidR="00F150ED" w:rsidRPr="00F150ED" w:rsidRDefault="00F150ED" w:rsidP="00E56D5A">
      <w:pPr>
        <w:spacing w:line="240" w:lineRule="auto"/>
        <w:jc w:val="left"/>
        <w:outlineLvl w:val="1"/>
        <w:rPr>
          <w:rFonts w:ascii="Times New Roman" w:hAnsi="Times New Roman"/>
          <w:b/>
          <w:bCs/>
          <w:sz w:val="36"/>
          <w:szCs w:val="36"/>
          <w:lang w:val="de-DE"/>
        </w:rPr>
      </w:pPr>
    </w:p>
    <w:p w:rsidR="00F150ED" w:rsidRPr="00F150ED" w:rsidRDefault="00F150ED" w:rsidP="00E56D5A">
      <w:pPr>
        <w:spacing w:line="240" w:lineRule="auto"/>
        <w:jc w:val="left"/>
        <w:outlineLvl w:val="1"/>
        <w:rPr>
          <w:rFonts w:ascii="Times New Roman" w:hAnsi="Times New Roman"/>
          <w:b/>
          <w:bCs/>
          <w:sz w:val="36"/>
          <w:szCs w:val="36"/>
          <w:lang w:val="de-DE"/>
        </w:rPr>
      </w:pPr>
    </w:p>
    <w:p w:rsidR="00E56D5A" w:rsidRDefault="00EA21E3" w:rsidP="00E56D5A">
      <w:pPr>
        <w:spacing w:line="240" w:lineRule="auto"/>
        <w:jc w:val="left"/>
        <w:outlineLvl w:val="1"/>
        <w:rPr>
          <w:rFonts w:ascii="Times New Roman" w:hAnsi="Times New Roman"/>
          <w:b/>
          <w:bCs/>
          <w:sz w:val="36"/>
          <w:szCs w:val="36"/>
        </w:rPr>
      </w:pPr>
      <w:r>
        <w:rPr>
          <w:rFonts w:ascii="Times New Roman" w:hAnsi="Times New Roman"/>
          <w:b/>
          <w:bCs/>
          <w:sz w:val="36"/>
          <w:szCs w:val="36"/>
        </w:rPr>
        <w:t xml:space="preserve">Many roads lead to Rome </w:t>
      </w:r>
      <w:r w:rsidR="006666B9">
        <w:rPr>
          <w:rFonts w:ascii="Times New Roman" w:hAnsi="Times New Roman"/>
          <w:b/>
          <w:bCs/>
          <w:sz w:val="36"/>
          <w:szCs w:val="36"/>
        </w:rPr>
        <w:t xml:space="preserve">– </w:t>
      </w:r>
    </w:p>
    <w:p w:rsidR="00EA21E3" w:rsidRDefault="006666B9" w:rsidP="00E56D5A">
      <w:pPr>
        <w:spacing w:line="240" w:lineRule="auto"/>
        <w:jc w:val="left"/>
        <w:outlineLvl w:val="1"/>
        <w:rPr>
          <w:rFonts w:ascii="Times New Roman" w:hAnsi="Times New Roman"/>
          <w:b/>
          <w:bCs/>
          <w:sz w:val="36"/>
          <w:szCs w:val="36"/>
        </w:rPr>
      </w:pPr>
      <w:r>
        <w:rPr>
          <w:rFonts w:ascii="Times New Roman" w:hAnsi="Times New Roman"/>
          <w:b/>
          <w:bCs/>
          <w:sz w:val="36"/>
          <w:szCs w:val="36"/>
        </w:rPr>
        <w:t xml:space="preserve">the state of </w:t>
      </w:r>
      <w:r w:rsidR="00F150ED">
        <w:rPr>
          <w:rFonts w:ascii="Times New Roman" w:hAnsi="Times New Roman"/>
          <w:b/>
          <w:bCs/>
          <w:sz w:val="36"/>
          <w:szCs w:val="36"/>
        </w:rPr>
        <w:t xml:space="preserve">the </w:t>
      </w:r>
      <w:r>
        <w:rPr>
          <w:rFonts w:ascii="Times New Roman" w:hAnsi="Times New Roman"/>
          <w:b/>
          <w:bCs/>
          <w:sz w:val="36"/>
          <w:szCs w:val="36"/>
        </w:rPr>
        <w:t xml:space="preserve">European </w:t>
      </w:r>
      <w:r w:rsidR="00F150ED">
        <w:rPr>
          <w:rFonts w:ascii="Times New Roman" w:hAnsi="Times New Roman"/>
          <w:b/>
          <w:bCs/>
          <w:sz w:val="36"/>
          <w:szCs w:val="36"/>
        </w:rPr>
        <w:t>Union</w:t>
      </w:r>
    </w:p>
    <w:p w:rsidR="006666B9" w:rsidRDefault="006666B9" w:rsidP="00EA21E3">
      <w:pPr>
        <w:spacing w:before="100" w:beforeAutospacing="1" w:after="100" w:afterAutospacing="1" w:line="240" w:lineRule="auto"/>
        <w:jc w:val="left"/>
        <w:outlineLvl w:val="1"/>
        <w:rPr>
          <w:rFonts w:ascii="Times New Roman" w:hAnsi="Times New Roman"/>
          <w:b/>
          <w:bCs/>
          <w:szCs w:val="24"/>
        </w:rPr>
      </w:pPr>
      <w:r w:rsidRPr="006666B9">
        <w:rPr>
          <w:rFonts w:ascii="Times New Roman" w:hAnsi="Times New Roman"/>
          <w:b/>
          <w:bCs/>
          <w:szCs w:val="24"/>
        </w:rPr>
        <w:t>by Werner Abelshauser</w:t>
      </w:r>
    </w:p>
    <w:p w:rsidR="006666B9" w:rsidRPr="006666B9" w:rsidRDefault="006666B9" w:rsidP="00EA21E3">
      <w:pPr>
        <w:spacing w:before="100" w:beforeAutospacing="1" w:after="100" w:afterAutospacing="1" w:line="240" w:lineRule="auto"/>
        <w:jc w:val="left"/>
        <w:outlineLvl w:val="1"/>
        <w:rPr>
          <w:rFonts w:ascii="Times New Roman" w:eastAsia="Times New Roman" w:hAnsi="Times New Roman" w:cs="Times New Roman"/>
          <w:b/>
          <w:bCs/>
          <w:szCs w:val="24"/>
        </w:rPr>
      </w:pPr>
    </w:p>
    <w:p w:rsidR="00EA21E3" w:rsidRDefault="00EA21E3" w:rsidP="00E56D5A">
      <w:pPr>
        <w:spacing w:before="100" w:beforeAutospacing="1" w:after="100" w:afterAutospacing="1"/>
        <w:jc w:val="left"/>
        <w:rPr>
          <w:rFonts w:ascii="Times New Roman" w:hAnsi="Times New Roman"/>
          <w:b/>
          <w:szCs w:val="24"/>
        </w:rPr>
      </w:pPr>
      <w:r w:rsidRPr="00E56D5A">
        <w:rPr>
          <w:rFonts w:ascii="Times New Roman" w:hAnsi="Times New Roman"/>
          <w:b/>
          <w:szCs w:val="24"/>
        </w:rPr>
        <w:t xml:space="preserve">The attempt to integrate Europe on the basis of a “multi-speed” model has failed. The essential task now is to take into account the diversity of economic cultures in Europe and to unite the continent along a variety of paths. </w:t>
      </w:r>
    </w:p>
    <w:p w:rsidR="00E56D5A" w:rsidRPr="00E56D5A" w:rsidRDefault="00E56D5A" w:rsidP="00E56D5A">
      <w:pPr>
        <w:spacing w:before="100" w:beforeAutospacing="1" w:after="100" w:afterAutospacing="1"/>
        <w:jc w:val="left"/>
        <w:rPr>
          <w:rFonts w:ascii="Times New Roman" w:eastAsia="Times New Roman" w:hAnsi="Times New Roman" w:cs="Times New Roman"/>
          <w:b/>
          <w:szCs w:val="24"/>
        </w:rPr>
      </w:pP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It is difficult to predict the success or collapse of efforts to achieve international integration. Once the stakeholders have embarked in a certain direction, they hesitate </w:t>
      </w:r>
      <w:r w:rsidR="0097253C">
        <w:rPr>
          <w:rFonts w:ascii="Times New Roman" w:hAnsi="Times New Roman"/>
          <w:szCs w:val="24"/>
        </w:rPr>
        <w:t xml:space="preserve">until </w:t>
      </w:r>
      <w:r>
        <w:rPr>
          <w:rFonts w:ascii="Times New Roman" w:hAnsi="Times New Roman"/>
          <w:szCs w:val="24"/>
        </w:rPr>
        <w:t>the very end to register political failure. But if the strain becomes unbearable, things can move very quickly. This is borne out by plenty of examples. From 1870 to 1931, the gold standard served as a shared monetary system in Europe and as a type of global currency. In the wake of the stock market crisis of 1929 and the banking crisis that followed, the gold standard became an obstacle to the development of strategies that could successfully combat the global economic crisis. Nevertheless, as late as September 1931, all of the participating countries continued to insist that the gold standard was indispensable. But when the United Kingdom – the pre-eminent power behind the gold standard – threw in the towel on 20 September 1931, 30 additional countries followed suit in order to regain sovereignty over their monetary policies.</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This example shows that it might help to be prepared for the disintegration of familiar European frameworks, </w:t>
      </w:r>
      <w:r w:rsidR="0097253C">
        <w:rPr>
          <w:rFonts w:ascii="Times New Roman" w:hAnsi="Times New Roman"/>
          <w:szCs w:val="24"/>
        </w:rPr>
        <w:t xml:space="preserve">especially since </w:t>
      </w:r>
      <w:r>
        <w:rPr>
          <w:rFonts w:ascii="Times New Roman" w:hAnsi="Times New Roman"/>
          <w:szCs w:val="24"/>
        </w:rPr>
        <w:t xml:space="preserve">the strain they are under </w:t>
      </w:r>
      <w:r w:rsidR="0097253C">
        <w:rPr>
          <w:rFonts w:ascii="Times New Roman" w:hAnsi="Times New Roman"/>
          <w:szCs w:val="24"/>
        </w:rPr>
        <w:t>is intensifying</w:t>
      </w:r>
      <w:r>
        <w:rPr>
          <w:rFonts w:ascii="Times New Roman" w:hAnsi="Times New Roman"/>
          <w:szCs w:val="24"/>
        </w:rPr>
        <w:t xml:space="preserve">. This is not the first time that the process of European integration has faced an acute crisis. </w:t>
      </w:r>
      <w:r w:rsidR="0097253C">
        <w:rPr>
          <w:rFonts w:ascii="Times New Roman" w:hAnsi="Times New Roman"/>
          <w:szCs w:val="24"/>
        </w:rPr>
        <w:t xml:space="preserve">Thus </w:t>
      </w:r>
      <w:r>
        <w:rPr>
          <w:rFonts w:ascii="Times New Roman" w:hAnsi="Times New Roman"/>
          <w:szCs w:val="24"/>
        </w:rPr>
        <w:t>the question also arises as to whether there might be alternative ways to achieve integration if the approaches that have been pursued so far prove deficient.</w:t>
      </w:r>
    </w:p>
    <w:p w:rsidR="00EA21E3" w:rsidRPr="00EA21E3" w:rsidRDefault="0097253C"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lastRenderedPageBreak/>
        <w:t>“</w:t>
      </w:r>
      <w:r w:rsidR="00EA21E3">
        <w:rPr>
          <w:rFonts w:ascii="Times New Roman" w:hAnsi="Times New Roman"/>
          <w:szCs w:val="24"/>
        </w:rPr>
        <w:t>The process of unifying Europe has reached a critical juncture in its development.”</w:t>
      </w:r>
      <w:r w:rsidR="00EA21E3">
        <w:t xml:space="preserve"> </w:t>
      </w:r>
      <w:r w:rsidR="00EA21E3">
        <w:rPr>
          <w:rFonts w:ascii="Times New Roman" w:hAnsi="Times New Roman"/>
          <w:szCs w:val="24"/>
        </w:rPr>
        <w:t>This was the lead-off sentence in the essay “Reflections on European policy” (</w:t>
      </w:r>
      <w:r w:rsidR="00EA21E3">
        <w:rPr>
          <w:rFonts w:ascii="Times New Roman" w:hAnsi="Times New Roman"/>
          <w:i/>
          <w:szCs w:val="24"/>
        </w:rPr>
        <w:t>Überlegungen zur europäischen Politik</w:t>
      </w:r>
      <w:r w:rsidR="00EA21E3">
        <w:rPr>
          <w:rFonts w:ascii="Times New Roman" w:hAnsi="Times New Roman"/>
          <w:szCs w:val="24"/>
        </w:rPr>
        <w:t xml:space="preserve">) by Wolfgang Schäuble and Karl Lamers, which was published 23 years ago. The two authors took a critical view of what they saw as “bloated European institutions” along with “the increasing fragmentation of interests”, “unemployment” and “overstretched social security systems”. But more than anything, they deplored the “rise of a ‘regressive nationalism’ in almost every member state, which springs from a deep fear triggered by the adverse outcomes of the civilisation process and by external threats such as migration.” They concluded by proposing that “multiple speeds” be permitted on </w:t>
      </w:r>
      <w:r>
        <w:rPr>
          <w:rFonts w:ascii="Times New Roman" w:hAnsi="Times New Roman"/>
          <w:szCs w:val="24"/>
        </w:rPr>
        <w:t xml:space="preserve">the </w:t>
      </w:r>
      <w:r w:rsidR="00EA21E3">
        <w:rPr>
          <w:rFonts w:ascii="Times New Roman" w:hAnsi="Times New Roman"/>
          <w:szCs w:val="24"/>
        </w:rPr>
        <w:t>road to European integration.</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The factors that Schäuble and Lamers </w:t>
      </w:r>
      <w:r w:rsidR="0097253C">
        <w:rPr>
          <w:rFonts w:ascii="Times New Roman" w:hAnsi="Times New Roman"/>
          <w:szCs w:val="24"/>
        </w:rPr>
        <w:t xml:space="preserve">cited </w:t>
      </w:r>
      <w:r>
        <w:rPr>
          <w:rFonts w:ascii="Times New Roman" w:hAnsi="Times New Roman"/>
          <w:szCs w:val="24"/>
        </w:rPr>
        <w:t xml:space="preserve">as causes of a “dangerous trend” </w:t>
      </w:r>
      <w:r w:rsidR="0097253C">
        <w:rPr>
          <w:rFonts w:ascii="Times New Roman" w:hAnsi="Times New Roman"/>
          <w:szCs w:val="24"/>
        </w:rPr>
        <w:t xml:space="preserve">– </w:t>
      </w:r>
      <w:r>
        <w:rPr>
          <w:rFonts w:ascii="Times New Roman" w:hAnsi="Times New Roman"/>
          <w:szCs w:val="24"/>
        </w:rPr>
        <w:t xml:space="preserve">just a few years after the Maastricht Treaty was signed </w:t>
      </w:r>
      <w:r w:rsidR="0097253C">
        <w:rPr>
          <w:rFonts w:ascii="Times New Roman" w:hAnsi="Times New Roman"/>
          <w:szCs w:val="24"/>
        </w:rPr>
        <w:t>– serve to high</w:t>
      </w:r>
      <w:r>
        <w:rPr>
          <w:rFonts w:ascii="Times New Roman" w:hAnsi="Times New Roman"/>
          <w:szCs w:val="24"/>
        </w:rPr>
        <w:t xml:space="preserve">light how intractable the obstacles to integration are. After all, this was in 1994, and the factors they </w:t>
      </w:r>
      <w:r w:rsidR="0097253C">
        <w:rPr>
          <w:rFonts w:ascii="Times New Roman" w:hAnsi="Times New Roman"/>
          <w:szCs w:val="24"/>
        </w:rPr>
        <w:t xml:space="preserve">mentioned </w:t>
      </w:r>
      <w:r>
        <w:rPr>
          <w:rFonts w:ascii="Times New Roman" w:hAnsi="Times New Roman"/>
          <w:szCs w:val="24"/>
        </w:rPr>
        <w:t>had already been gathering force for 20 years.</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An article on the state of European integration today could start out with nearly identical wording. However, at least one problem has been added to the mix, one that Schäuble and Lamers could not have taken into account precisely because their proposal for a two-speed Europe aimed to prevent it from occurring: namely, the instability of the European Union, whose member states not only have highly divergent capacities (or collective mentalities) for complying with rules, but also differ fundamentally in terms of economic culture – that is, in how they think and act economically (their institutional rules of the game) and in the way they organise their national economies.</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Even after being put into practice, </w:t>
      </w:r>
      <w:r w:rsidR="00B42628">
        <w:rPr>
          <w:rFonts w:ascii="Times New Roman" w:hAnsi="Times New Roman"/>
          <w:szCs w:val="24"/>
        </w:rPr>
        <w:t xml:space="preserve">the strategy of advancing </w:t>
      </w:r>
      <w:r>
        <w:rPr>
          <w:rFonts w:ascii="Times New Roman" w:hAnsi="Times New Roman"/>
          <w:szCs w:val="24"/>
        </w:rPr>
        <w:t>integration at different speeds has evidently failed to prevent the integration process from arriving at yet another critical juncture today. Further rifts have emerged, both (a) within the euro area and (b) between euro countries and the rest of the EU. If, after over half a century, a particular conception of how the integration process is supposed to work does not lead to satisfactory results, the time would appear to be ripe for thinking about alternatives. It goes without saying: no more business as usual.</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Differences in member state development levels can be evened out within a few decades. But economic cultures generally have deep historical roots. Measured against the pace of everyday politics, economic cultures can seem impervious to change. But they are by no means always in need of adapting. On the contrary, functioning institutions provide for comparative institutional advantages in gaining preferential access to different markets. Thus an alternative strategy for Europe calls for an economic policy that does not flatten out divergent paths towards economic development but instead adeptly interconnects these different paths in a way that achieves unity in diversity.</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Germany operates with great success as one of the world’s leading trading nations. It does so from a secure and sound basis within the European market. This heightens the importance of the EU internal market as a foundation and instrument for German trading power. Beyond this, the EU</w:t>
      </w:r>
      <w:r w:rsidR="00B42628">
        <w:rPr>
          <w:rFonts w:ascii="Times New Roman" w:hAnsi="Times New Roman"/>
          <w:szCs w:val="24"/>
        </w:rPr>
        <w:t xml:space="preserve"> as a whole </w:t>
      </w:r>
      <w:r>
        <w:rPr>
          <w:rFonts w:ascii="Times New Roman" w:hAnsi="Times New Roman"/>
          <w:szCs w:val="24"/>
        </w:rPr>
        <w:t xml:space="preserve">– </w:t>
      </w:r>
      <w:r w:rsidR="00B42628">
        <w:rPr>
          <w:rFonts w:ascii="Times New Roman" w:hAnsi="Times New Roman"/>
          <w:szCs w:val="24"/>
        </w:rPr>
        <w:t xml:space="preserve">i.e. </w:t>
      </w:r>
      <w:r>
        <w:rPr>
          <w:rFonts w:ascii="Times New Roman" w:hAnsi="Times New Roman"/>
          <w:szCs w:val="24"/>
        </w:rPr>
        <w:t xml:space="preserve">as a cohesive economic power – needs to be revamped in a way that enables it to stand on equal footing with other leading trading powers such as the United States and Japan as well as </w:t>
      </w:r>
      <w:r w:rsidR="00B42628">
        <w:rPr>
          <w:rFonts w:ascii="Times New Roman" w:hAnsi="Times New Roman"/>
          <w:szCs w:val="24"/>
        </w:rPr>
        <w:t xml:space="preserve">with </w:t>
      </w:r>
      <w:r>
        <w:rPr>
          <w:rFonts w:ascii="Times New Roman" w:hAnsi="Times New Roman"/>
          <w:szCs w:val="24"/>
        </w:rPr>
        <w:t>emerging markets such as China and India. For proponents of the European project, this goal stands high on the agenda because it appears to be best-suited to highlighting the necessity of a European superstate. For EU member states, this scenario certainly poses the risk that they will no longer have sufficient economic and fiscal policy tools at their sovereign command that help them to safeguard and advance their comparative institutional advantages on global markets.</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In the field of foreign policy, too, “communitisation” at the European level would appear to be neither conceivable nor desirable. The Western European countries that wield veto power within the UN Security Council will resist a joint European mandate, simply out of self-interest. Even a common EU external economic policy will be geared towards lowest common denominators that may end up failing to satisfy any of the member states.</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The multilateral EU – like only a few countries in the international community – does possess the economic, military and technological capacities that are required to play the role of a world power. But for the foreseeable future, it lacks both the political will and the ability to articulate uniform European interests, as the United Kingdom’s recent decision to withdraw from the Union underscored.</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Member states such as France and Germany would certainly be capable of acting as traditional great powers, even though Germany has so far explicitly demonstrated no willingness to play power politics. Given this constellation of circumstances, the European Union’s external policies should be limited to measures that enable member states with similar economic cultures to take concerted action on world markets, while simultaneously giving these member states the freedom to pursue their interests in global governance forums – on their own initiative, and at their own risk.</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For Germany, the balancing act between Europe and the world is especially difficult. A formal recognition of Germany’s economic dominance in Europe is just as difficult to imagine today as it was before 1914 and after 1945. This is one key reason why Germany will not aspire to a formal leadership position within a European treaty-based union of sovereign states with divergent economic cultures. It suffices for Germany if it can retain its ability to act freely on global markets, while simultaneously enjoying secure European backing.</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This would appear to be a realistic strategy, because other ambitious members of the EU also stake claims to this freedom of action – although with more limited prospects of success, and their power tends to lie largely outside the economic sphere. France’s claims to world-power status are based primarily on the diplomatic status it possesses thanks to its historical capital as a veto-wielding permanent member of the UN Security Council and its position as a nuclear power. These factors have helped France to compensate for its diminishing influence as a traditional world power. In contrast, in 1969/1973, Germany definitively gave up the option of becoming a nuclear power, even though its cabinet had adopted a decision in December 1956 reiterating Germany’s intention to produce nuclear weapons.</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Twenty-five years after the end of the Cold War, it is pretty much inevitable that Germany would seek to shift its foreign policy away from bloc-based thinking towards new options in a multi-polar world – regardless of who happens to be the president of the United States. Germany’s comparative political advantage here lies in the nature of its economic ties to markets in Brazil, Russia, India and China. Germany’s business culture has given rise to an economy that specialises in post-industrial custom fitting on markets for diversified, high-quality products. This means that, in contrast to older Western powers, Germany (along with some of its neighbours) does not stand in direct competition with emerging economies but rather supports their economic ambitions – while profiting from these ambitions at the same time. This role as a sought-after supplier to emerging markets should make it easy for Germany to enter into dialogue with rising powers in a new, multipolar world system, with the aim of articulating and asserting shared interests in global governance forums.</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When viewed from up close, the European economic area breaks down into different types of capitalism that are as numerous as the diverse paths these countries took towards modernity. The way that the European economic area came into being causes it to differ in particular from the United States, which possesses a uniform economic culture. Basically, four different cultural groupings influence the behaviour of European business within the global economy.</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Anglo-Saxon economic culture places its trust in the invisible hand of the market and leaves less room for spontaneous sociability than continental economies. Alre</w:t>
      </w:r>
      <w:r w:rsidR="006550C5">
        <w:rPr>
          <w:rFonts w:ascii="Times New Roman" w:hAnsi="Times New Roman"/>
          <w:szCs w:val="24"/>
        </w:rPr>
        <w:t>ady towards the end of the 19</w:t>
      </w:r>
      <w:r w:rsidR="006550C5" w:rsidRPr="006550C5">
        <w:rPr>
          <w:rFonts w:ascii="Times New Roman" w:hAnsi="Times New Roman"/>
          <w:szCs w:val="24"/>
          <w:vertAlign w:val="superscript"/>
        </w:rPr>
        <w:t>th</w:t>
      </w:r>
      <w:r w:rsidR="006550C5">
        <w:rPr>
          <w:rFonts w:ascii="Times New Roman" w:hAnsi="Times New Roman"/>
          <w:szCs w:val="24"/>
        </w:rPr>
        <w:t> </w:t>
      </w:r>
      <w:r>
        <w:rPr>
          <w:rFonts w:ascii="Times New Roman" w:hAnsi="Times New Roman"/>
          <w:szCs w:val="24"/>
        </w:rPr>
        <w:t xml:space="preserve">century, Britain turned its back </w:t>
      </w:r>
      <w:r w:rsidR="006550C5">
        <w:rPr>
          <w:rFonts w:ascii="Times New Roman" w:hAnsi="Times New Roman"/>
          <w:szCs w:val="24"/>
        </w:rPr>
        <w:t xml:space="preserve">on </w:t>
      </w:r>
      <w:r>
        <w:rPr>
          <w:rFonts w:ascii="Times New Roman" w:hAnsi="Times New Roman"/>
          <w:szCs w:val="24"/>
        </w:rPr>
        <w:t xml:space="preserve">the industrial economic culture it had previously embraced and instead shifted its focus to </w:t>
      </w:r>
      <w:r w:rsidR="006550C5">
        <w:rPr>
          <w:rFonts w:ascii="Times New Roman" w:hAnsi="Times New Roman"/>
          <w:szCs w:val="24"/>
        </w:rPr>
        <w:t xml:space="preserve">pursue </w:t>
      </w:r>
      <w:r>
        <w:rPr>
          <w:rFonts w:ascii="Times New Roman" w:hAnsi="Times New Roman"/>
          <w:szCs w:val="24"/>
        </w:rPr>
        <w:t>more profitable forms of investment on global capital markets. British indust</w:t>
      </w:r>
      <w:r w:rsidR="006550C5">
        <w:rPr>
          <w:rFonts w:ascii="Times New Roman" w:hAnsi="Times New Roman"/>
          <w:szCs w:val="24"/>
        </w:rPr>
        <w:t>ry owed its decline in the 20</w:t>
      </w:r>
      <w:r w:rsidR="006550C5" w:rsidRPr="006550C5">
        <w:rPr>
          <w:rFonts w:ascii="Times New Roman" w:hAnsi="Times New Roman"/>
          <w:szCs w:val="24"/>
          <w:vertAlign w:val="superscript"/>
        </w:rPr>
        <w:t>th</w:t>
      </w:r>
      <w:r w:rsidR="006550C5">
        <w:rPr>
          <w:rFonts w:ascii="Times New Roman" w:hAnsi="Times New Roman"/>
          <w:szCs w:val="24"/>
        </w:rPr>
        <w:t> </w:t>
      </w:r>
      <w:r>
        <w:rPr>
          <w:rFonts w:ascii="Times New Roman" w:hAnsi="Times New Roman"/>
          <w:szCs w:val="24"/>
        </w:rPr>
        <w:t>century to the British economy’s coalescence with the capital market culture of the United States – a culture that definitely swept to global predominance in the 1980s and 1990s. Even though the United Kingdom does not belong to the euro area, will soon leave the EU, and never stood at the vanguard of European integration, Anglo-American economic culture is undeniably a driving force of European integration.</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The region that makes up the core of Europe took another path to modernity. This path criss-crossed the continent, touching nearly every region at some point in time. French senior manager and author Michel Albert has given this economic culture the name </w:t>
      </w:r>
      <w:r>
        <w:rPr>
          <w:rFonts w:ascii="Times New Roman" w:hAnsi="Times New Roman"/>
          <w:i/>
          <w:szCs w:val="24"/>
        </w:rPr>
        <w:t>capitalisme rhénan</w:t>
      </w:r>
      <w:r>
        <w:rPr>
          <w:rFonts w:ascii="Times New Roman" w:hAnsi="Times New Roman"/>
          <w:szCs w:val="24"/>
        </w:rPr>
        <w:t xml:space="preserve"> (Rhenish capitalism). His concept denotes an economic area that has grown over time and that spans north-south from Scandinavia to northern Italy and west-east from the Seine to the Oder rivers. The geographic itinerary of this model’s rise began on the west-east trading route of the Hanseatic period and then proceeded along the development axes that stretched across continental Europe from Bruges to Genoa and from Antwerp to Venice. Along these routes, first the trade fairs of Champagne, and then the industrial belt around Augsburg and Nuremberg, became crucial hubs of modern institutional innovation. Today, Rhenish capitalism roughly coincides with the solid core of the euro area and gives this region a certain degree of cohesion in terms of economic culture. As a dense landscape of voluntarily accepted “rules of the game”, this economic culture is basically the ideal-typical opposite of the invisible-hand ideology of market economies that rose to predominance in early 18</w:t>
      </w:r>
      <w:r w:rsidRPr="006550C5">
        <w:rPr>
          <w:rFonts w:ascii="Times New Roman" w:hAnsi="Times New Roman"/>
          <w:szCs w:val="24"/>
          <w:vertAlign w:val="superscript"/>
        </w:rPr>
        <w:t>th</w:t>
      </w:r>
      <w:r>
        <w:rPr>
          <w:rFonts w:ascii="Times New Roman" w:hAnsi="Times New Roman"/>
          <w:szCs w:val="24"/>
        </w:rPr>
        <w:t>-century England.</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The characteristics that typify the economic culture predominant in southern Europe are a more distant relationship between economic actors and the state, a weaker ability to build and utilise social capital, and a tradition of soft currencies derived from agrarian/tertiary modes of production. It is surely n</w:t>
      </w:r>
      <w:r w:rsidR="006550C5">
        <w:rPr>
          <w:rFonts w:ascii="Times New Roman" w:hAnsi="Times New Roman"/>
          <w:szCs w:val="24"/>
        </w:rPr>
        <w:t>o coincidence that, in the 20</w:t>
      </w:r>
      <w:r w:rsidR="006550C5" w:rsidRPr="006550C5">
        <w:rPr>
          <w:rFonts w:ascii="Times New Roman" w:hAnsi="Times New Roman"/>
          <w:szCs w:val="24"/>
          <w:vertAlign w:val="superscript"/>
        </w:rPr>
        <w:t>th</w:t>
      </w:r>
      <w:r w:rsidR="006550C5">
        <w:rPr>
          <w:rFonts w:ascii="Times New Roman" w:hAnsi="Times New Roman"/>
          <w:szCs w:val="24"/>
        </w:rPr>
        <w:t> </w:t>
      </w:r>
      <w:r>
        <w:rPr>
          <w:rFonts w:ascii="Times New Roman" w:hAnsi="Times New Roman"/>
          <w:szCs w:val="24"/>
        </w:rPr>
        <w:t xml:space="preserve">century, essentially all of the countries that practice the Mediterranean model of capitalism (and the Balkan country of Greece as well) had extensive exposure to fascist movements that put authoritarian systems in place </w:t>
      </w:r>
      <w:r w:rsidR="008A57CB">
        <w:rPr>
          <w:rFonts w:ascii="Times New Roman" w:hAnsi="Times New Roman"/>
          <w:szCs w:val="24"/>
        </w:rPr>
        <w:t>with the purported objective of compensating</w:t>
      </w:r>
      <w:r>
        <w:rPr>
          <w:rFonts w:ascii="Times New Roman" w:hAnsi="Times New Roman"/>
          <w:szCs w:val="24"/>
        </w:rPr>
        <w:t xml:space="preserve"> for the apparent lack of effectiveness in both state and society.</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This is not meant to suggest that southern Italy and the other countries of the Mediterranean region do not have their own economic culture. They have a different one – one with comparative institutional advantages reflected in stable economic familialism, a strong orientation towards services markets, and a vibrant small business sector. Furthermore, the Iberian peninsula possesses great foreign trade potential thanks to its worldwide network of trade ties. </w:t>
      </w:r>
      <w:r w:rsidR="008A57CB">
        <w:rPr>
          <w:rFonts w:ascii="Times New Roman" w:hAnsi="Times New Roman"/>
          <w:szCs w:val="24"/>
        </w:rPr>
        <w:t>Current conditions call</w:t>
      </w:r>
      <w:r>
        <w:rPr>
          <w:rFonts w:ascii="Times New Roman" w:hAnsi="Times New Roman"/>
          <w:szCs w:val="24"/>
        </w:rPr>
        <w:t xml:space="preserve"> for the implementation of “visible hand” policies that aim to remedy weaknesses in certain segments of Mediterranean economies while simultaneously reinforcing potential competitive advantages.</w:t>
      </w:r>
    </w:p>
    <w:p w:rsidR="008A57CB" w:rsidRDefault="00EA21E3" w:rsidP="006666B9">
      <w:pPr>
        <w:spacing w:before="100" w:beforeAutospacing="1" w:after="100" w:afterAutospacing="1" w:line="360" w:lineRule="auto"/>
        <w:jc w:val="left"/>
        <w:rPr>
          <w:rFonts w:ascii="Times New Roman" w:hAnsi="Times New Roman"/>
          <w:szCs w:val="24"/>
        </w:rPr>
      </w:pPr>
      <w:r>
        <w:rPr>
          <w:rFonts w:ascii="Times New Roman" w:hAnsi="Times New Roman"/>
          <w:szCs w:val="24"/>
        </w:rPr>
        <w:t>This does not conclude the list of economic cultures that make up Europe. There are the Balkan countries that were heavily influenced by centuries of Ottoman rule and that therefore missed out on key economic developments occurring in Europe. And in particular, there are the transition countries in eastern Europe that are in the process of reviving their own traditions or adopting the institutional structu</w:t>
      </w:r>
      <w:r w:rsidR="008A57CB">
        <w:rPr>
          <w:rFonts w:ascii="Times New Roman" w:hAnsi="Times New Roman"/>
          <w:szCs w:val="24"/>
        </w:rPr>
        <w:t>res of other economic cultures.</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The point here is not that there is a superior economic culture that will win out in the end. Economic cultures know no hierarchy. The sole deciding factors are their ability to compete on specific markets and the capacity of their institutions to function effectively under conditions that have evolved throughout history.</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All of this suggests that Europe’s diverse landscape of economic cultures is more than just a burdensome historical legacy that, like it or not, must be taken into account in crafting the process of European integration. Rather, it is precisely the competition between economic cultures that has facilitated Europe’s prosperity relative to the rest of the world. This is a recurrent insight that spans thinkers from John Stuart Mill, who in 1859 expressed his firm conviction that Europe benefits specifically from its plurality of development paths, to Douglass C. North, recipient of the 1993 Nobel Prize in Economic Sciences, who argued that it is precisely that lack of a unified European state that has laid the historical groundwork for growth and prosperity.</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In the </w:t>
      </w:r>
      <w:r w:rsidR="00034561">
        <w:rPr>
          <w:rFonts w:ascii="Times New Roman" w:hAnsi="Times New Roman"/>
          <w:szCs w:val="24"/>
        </w:rPr>
        <w:t xml:space="preserve">idealised </w:t>
      </w:r>
      <w:r>
        <w:rPr>
          <w:rFonts w:ascii="Times New Roman" w:hAnsi="Times New Roman"/>
          <w:szCs w:val="24"/>
        </w:rPr>
        <w:t>world of the optimum currency area, it initially seemed as if all the economic prerequisites were in place that would enable the currency union to serve as an engine for transforming the EU from a treaty-based community of sovereign states into an increasingly supranational entity. The euro countries had highly flexible and mobile labour markets and goods markets, and their level of integration in global markets (</w:t>
      </w:r>
      <w:r w:rsidR="00034561">
        <w:rPr>
          <w:rFonts w:ascii="Times New Roman" w:hAnsi="Times New Roman"/>
          <w:szCs w:val="24"/>
        </w:rPr>
        <w:t xml:space="preserve">i.e. their </w:t>
      </w:r>
      <w:r>
        <w:rPr>
          <w:rFonts w:ascii="Times New Roman" w:hAnsi="Times New Roman"/>
          <w:szCs w:val="24"/>
        </w:rPr>
        <w:t>degree of openness) left little to be desired. All that remained was an appeal to the willingness of euro countries to comply with a few rules that were deemed indispensable for maintaining the cohesion of the currency area. But of course, compliance with the criteria laid down in the 1992 Maastricht Treaty is contingent upon the existence of collective mentalities that enable euro countries to organise state and society in a way that makes it possible for these rules to be fulfilled. The proponents of a single European currency did not doubt for a moment that generally binding standards for budget deficits, debt ratios and inflation rates would take hold automatically under the pressure of capital markets. In their minds, the social and political capacity to comply with common rules seemed to be reduced to a simple question of political will and discipline.</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At the very latest by 2010, as the banking crisis – which continues to </w:t>
      </w:r>
      <w:r w:rsidR="00034561">
        <w:rPr>
          <w:rFonts w:ascii="Times New Roman" w:hAnsi="Times New Roman"/>
          <w:szCs w:val="24"/>
        </w:rPr>
        <w:t>smoulder</w:t>
      </w:r>
      <w:r>
        <w:rPr>
          <w:rFonts w:ascii="Times New Roman" w:hAnsi="Times New Roman"/>
          <w:szCs w:val="24"/>
        </w:rPr>
        <w:t xml:space="preserve"> today – caused the problem of rising public debt to reach an acute stage in numerous euro countries, and as it became increasingly difficult for them to refinance their debt on capital markets, the instability of the euro area broke out into the open. At the same time, a growing number of signs indicated that there were other serious reasons for the </w:t>
      </w:r>
      <w:r w:rsidR="00034561">
        <w:rPr>
          <w:rFonts w:ascii="Times New Roman" w:hAnsi="Times New Roman"/>
          <w:szCs w:val="24"/>
        </w:rPr>
        <w:t xml:space="preserve">difficulties </w:t>
      </w:r>
      <w:r>
        <w:rPr>
          <w:rFonts w:ascii="Times New Roman" w:hAnsi="Times New Roman"/>
          <w:szCs w:val="24"/>
        </w:rPr>
        <w:t xml:space="preserve">that euro countries were </w:t>
      </w:r>
      <w:r w:rsidR="00034561">
        <w:rPr>
          <w:rFonts w:ascii="Times New Roman" w:hAnsi="Times New Roman"/>
          <w:szCs w:val="24"/>
        </w:rPr>
        <w:t xml:space="preserve">experiencing in their efforts to meet </w:t>
      </w:r>
      <w:r>
        <w:rPr>
          <w:rFonts w:ascii="Times New Roman" w:hAnsi="Times New Roman"/>
          <w:szCs w:val="24"/>
        </w:rPr>
        <w:t xml:space="preserve">the Maastricht criteria. Collective mentalities have proven to be tenacious, and </w:t>
      </w:r>
      <w:r w:rsidR="00034561">
        <w:rPr>
          <w:rFonts w:ascii="Times New Roman" w:hAnsi="Times New Roman"/>
          <w:szCs w:val="24"/>
        </w:rPr>
        <w:t xml:space="preserve">the diversity of </w:t>
      </w:r>
      <w:r>
        <w:rPr>
          <w:rFonts w:ascii="Times New Roman" w:hAnsi="Times New Roman"/>
          <w:szCs w:val="24"/>
        </w:rPr>
        <w:t xml:space="preserve">economic cultures within the common currency area </w:t>
      </w:r>
      <w:r w:rsidR="00034561">
        <w:rPr>
          <w:rFonts w:ascii="Times New Roman" w:hAnsi="Times New Roman"/>
          <w:szCs w:val="24"/>
        </w:rPr>
        <w:t xml:space="preserve">is </w:t>
      </w:r>
      <w:r>
        <w:rPr>
          <w:rFonts w:ascii="Times New Roman" w:hAnsi="Times New Roman"/>
          <w:szCs w:val="24"/>
        </w:rPr>
        <w:t xml:space="preserve">colliding with the necessity to </w:t>
      </w:r>
      <w:r w:rsidR="00034561">
        <w:rPr>
          <w:rFonts w:ascii="Times New Roman" w:hAnsi="Times New Roman"/>
          <w:szCs w:val="24"/>
        </w:rPr>
        <w:t xml:space="preserve">impose </w:t>
      </w:r>
      <w:r>
        <w:rPr>
          <w:rFonts w:ascii="Times New Roman" w:hAnsi="Times New Roman"/>
          <w:szCs w:val="24"/>
        </w:rPr>
        <w:t xml:space="preserve">discipline </w:t>
      </w:r>
      <w:r w:rsidR="00034561">
        <w:rPr>
          <w:rFonts w:ascii="Times New Roman" w:hAnsi="Times New Roman"/>
          <w:szCs w:val="24"/>
        </w:rPr>
        <w:t xml:space="preserve">on </w:t>
      </w:r>
      <w:r>
        <w:rPr>
          <w:rFonts w:ascii="Times New Roman" w:hAnsi="Times New Roman"/>
          <w:szCs w:val="24"/>
        </w:rPr>
        <w:t xml:space="preserve">the currency union </w:t>
      </w:r>
      <w:r w:rsidR="00FB2B6A">
        <w:rPr>
          <w:rFonts w:ascii="Times New Roman" w:hAnsi="Times New Roman"/>
          <w:szCs w:val="24"/>
        </w:rPr>
        <w:t>by adopting strictly</w:t>
      </w:r>
      <w:r>
        <w:rPr>
          <w:rFonts w:ascii="Times New Roman" w:hAnsi="Times New Roman"/>
          <w:szCs w:val="24"/>
        </w:rPr>
        <w:t xml:space="preserve"> standardised rules and </w:t>
      </w:r>
      <w:r w:rsidR="00FB2B6A">
        <w:rPr>
          <w:rFonts w:ascii="Times New Roman" w:hAnsi="Times New Roman"/>
          <w:szCs w:val="24"/>
        </w:rPr>
        <w:t xml:space="preserve">carrying out </w:t>
      </w:r>
      <w:r>
        <w:rPr>
          <w:rFonts w:ascii="Times New Roman" w:hAnsi="Times New Roman"/>
          <w:szCs w:val="24"/>
        </w:rPr>
        <w:t>far-reaching economic policy interventions. This raises the question of whether the stabilisation of the European currency system calls not for a uniform, harmonising approach but rather for nuanced economic and fiscal policy strategies that take into account the characteristics of different economic cultures – and their different ways of thinking and acting – that have evolved over the course of history.</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For that matter, a single currency is not an indispensable prerequisite for smoothly functioning European markets. Anton Börner, president of the Federation of German Wholesale, Trade and Services, put it this way in November 2011 – at the height of the euro crisis – when he told the </w:t>
      </w:r>
      <w:r>
        <w:rPr>
          <w:rFonts w:ascii="Times New Roman" w:hAnsi="Times New Roman"/>
          <w:i/>
          <w:szCs w:val="24"/>
        </w:rPr>
        <w:t>Frankfurter Allgemeine Zeitung</w:t>
      </w:r>
      <w:r>
        <w:rPr>
          <w:rFonts w:ascii="Times New Roman" w:hAnsi="Times New Roman"/>
          <w:szCs w:val="24"/>
        </w:rPr>
        <w:t xml:space="preserve"> matter-of-factly: “We can live without the euro.” In fact, a European monetary system that is as comprehensive as possible and that features fixed exchange rates is sufficient for achieving the most important monetary policy objectives. In the lead-up to the introduction of the euro, the European Monetary System (EMS) provided for an area of “stable but adjustable exchange rates”, which the Federation of German Industries regarded as “a comparatively reliable basis for calculations over the long-term”. What Europe’s economy really needs are </w:t>
      </w:r>
      <w:r w:rsidR="00CB40F4">
        <w:rPr>
          <w:rFonts w:ascii="Times New Roman" w:hAnsi="Times New Roman"/>
          <w:szCs w:val="24"/>
        </w:rPr>
        <w:t>sound</w:t>
      </w:r>
      <w:r>
        <w:rPr>
          <w:rFonts w:ascii="Times New Roman" w:hAnsi="Times New Roman"/>
          <w:szCs w:val="24"/>
        </w:rPr>
        <w:t xml:space="preserve"> monetary conditions that would preferably apply to Europe in its entirety.</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Even if Europe can operate successfully on global markets without the euro – as proven by (a) the EMS prior to the introduction of the single currency and (b) the current experience of EU member states that do not belong to the euro area – the members of</w:t>
      </w:r>
      <w:r w:rsidR="00FB2B6A">
        <w:rPr>
          <w:rFonts w:ascii="Times New Roman" w:hAnsi="Times New Roman"/>
          <w:szCs w:val="24"/>
        </w:rPr>
        <w:t xml:space="preserve"> the euro area </w:t>
      </w:r>
      <w:r>
        <w:rPr>
          <w:rFonts w:ascii="Times New Roman" w:hAnsi="Times New Roman"/>
          <w:szCs w:val="24"/>
        </w:rPr>
        <w:t xml:space="preserve">seem firmly determined to live with the euro for the long term. This makes it all the more necessary for the currency union to develop a strategy that counteracts the single currency’s rigidity, which makes it difficult for euro countries with traditions of soft currencies to adjust to old and new challenges. This opens up broad possibilities for alternative strategies to advance European integration. </w:t>
      </w:r>
      <w:r w:rsidR="00FB2B6A">
        <w:rPr>
          <w:rFonts w:ascii="Times New Roman" w:hAnsi="Times New Roman"/>
          <w:szCs w:val="24"/>
        </w:rPr>
        <w:t>At the same time, t</w:t>
      </w:r>
      <w:r>
        <w:rPr>
          <w:rFonts w:ascii="Times New Roman" w:hAnsi="Times New Roman"/>
          <w:szCs w:val="24"/>
        </w:rPr>
        <w:t xml:space="preserve">his does not mean Europe à la carte. The EU needs rules that </w:t>
      </w:r>
      <w:r w:rsidR="00FB2B6A">
        <w:rPr>
          <w:rFonts w:ascii="Times New Roman" w:hAnsi="Times New Roman"/>
          <w:szCs w:val="24"/>
        </w:rPr>
        <w:t xml:space="preserve">provide </w:t>
      </w:r>
      <w:r>
        <w:rPr>
          <w:rFonts w:ascii="Times New Roman" w:hAnsi="Times New Roman"/>
          <w:szCs w:val="24"/>
        </w:rPr>
        <w:t xml:space="preserve">for unity in diversity, and </w:t>
      </w:r>
      <w:r w:rsidR="00FB2B6A">
        <w:rPr>
          <w:rFonts w:ascii="Times New Roman" w:hAnsi="Times New Roman"/>
          <w:szCs w:val="24"/>
        </w:rPr>
        <w:t xml:space="preserve">it needs </w:t>
      </w:r>
      <w:r>
        <w:rPr>
          <w:rFonts w:ascii="Times New Roman" w:hAnsi="Times New Roman"/>
          <w:szCs w:val="24"/>
        </w:rPr>
        <w:t>a monetary system that is compatible with this approach.</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How is this to be achieved? The precondition for a change of course in European policy is to “communitise” those “visible hand” regulatory frameworks that some member states – most of all Germany during its era of social market economy – have implemented successfully as a means to strengthen their comparative institutional advantages. Particularly in the core regions of continental Europe, market actors have shown considerable willingness to cut back voluntarily on their own freedom of action and to accept rules of the game that promise to deliver benefits if they are complied with. Wherever this willingness is lacking, or wherever the free-rider problem negates the aggregate economic benefits of market-based rules of the game, state action in line with competition-based regulatory frameworks is needed.</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These “visible hand” regulatory frameworks in Europe would need to accommodate a wide range of variation, as is evidenced by EU-wide differences in social production systems – differences that manifest themselves in divergent ways of organising banking systems, vocational training, labour relations, lobbying practices and corporate governance, and in highly diverse ways of thinking and acting. This diversity calls for flexible strategies that cultivate specific competitive advantages.</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As long as Europe’s integration process consisted of establishing and completing the customs union and the internal market, a strategy of harmonisation made good sense. This strategy could be implemented using traditional regulatory instruments that aimed to establish a level playing field on the basis of transparent and codified rules. Now that the internal market is complete and is functioning in a satisfactory manner, European policy faces more complex tasks. An effective integration strategy must always bear in mind the comparative institutional advantages of the relevant economic cultures and </w:t>
      </w:r>
      <w:r w:rsidR="00FB2B6A">
        <w:rPr>
          <w:rFonts w:ascii="Times New Roman" w:hAnsi="Times New Roman"/>
          <w:szCs w:val="24"/>
        </w:rPr>
        <w:t xml:space="preserve">must </w:t>
      </w:r>
      <w:r>
        <w:rPr>
          <w:rFonts w:ascii="Times New Roman" w:hAnsi="Times New Roman"/>
          <w:szCs w:val="24"/>
        </w:rPr>
        <w:t xml:space="preserve">respect the differences in social systems of production. In its current shape, the EU’s Brussels apparatus would certainly be overstretched if it were tasked with formulating and executing such complex economic policy strategies. Rather, this task calls for the skills and expertise of the member states, which would have to agree on rules for a social market economy </w:t>
      </w:r>
      <w:r>
        <w:rPr>
          <w:rFonts w:ascii="Times New Roman" w:hAnsi="Times New Roman"/>
          <w:i/>
          <w:szCs w:val="24"/>
        </w:rPr>
        <w:t>à l’européenne</w:t>
      </w:r>
      <w:r>
        <w:rPr>
          <w:rFonts w:ascii="Times New Roman" w:hAnsi="Times New Roman"/>
          <w:szCs w:val="24"/>
        </w:rPr>
        <w:t>.</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Plenty of preliminary considerations to this end have taken place at European level. When the European integration process came under strain during the “small” global economic crisis of the 1970s, European industry federations blamed the failure of common policies on an excess of harmonisation and simplification. They argued that an overly systematic and unrealistic integration policy was not conducive to the consolidation and optimisation of the advances that had been achieved so far and did not serve the interests of European companies. For this reason, they proposed that future European legislation be restricted to the specification of targets and objectives, while the member states should be given the latitude to select the modalities and means for achieving these goals. In a similar vein, the 1976 report by Belgian prime minister Leo Tindemans, which was commissioned by the European Community, started out from the premise that the “European structure” – which </w:t>
      </w:r>
      <w:r w:rsidR="0011561B">
        <w:rPr>
          <w:rFonts w:ascii="Times New Roman" w:hAnsi="Times New Roman"/>
          <w:szCs w:val="24"/>
        </w:rPr>
        <w:t xml:space="preserve">he noted </w:t>
      </w:r>
      <w:r>
        <w:rPr>
          <w:rFonts w:ascii="Times New Roman" w:hAnsi="Times New Roman"/>
          <w:szCs w:val="24"/>
        </w:rPr>
        <w:t xml:space="preserve">was “swaying” – needed to be stabilised by making integration policies more flexible. To this end, he introduced the concept of gradual integration. All of </w:t>
      </w:r>
      <w:r w:rsidR="0011561B">
        <w:rPr>
          <w:rFonts w:ascii="Times New Roman" w:hAnsi="Times New Roman"/>
          <w:szCs w:val="24"/>
        </w:rPr>
        <w:t xml:space="preserve">his </w:t>
      </w:r>
      <w:r>
        <w:rPr>
          <w:rFonts w:ascii="Times New Roman" w:hAnsi="Times New Roman"/>
          <w:szCs w:val="24"/>
        </w:rPr>
        <w:t>proposals point</w:t>
      </w:r>
      <w:r w:rsidR="0011561B">
        <w:rPr>
          <w:rFonts w:ascii="Times New Roman" w:hAnsi="Times New Roman"/>
          <w:szCs w:val="24"/>
        </w:rPr>
        <w:t>ed</w:t>
      </w:r>
      <w:r>
        <w:rPr>
          <w:rFonts w:ascii="Times New Roman" w:hAnsi="Times New Roman"/>
          <w:szCs w:val="24"/>
        </w:rPr>
        <w:t xml:space="preserve"> towards a greater emphasis on the subsidiarity principle, which features prominently in the Maastricht Treaty but has never really been implemented in practice.</w:t>
      </w:r>
    </w:p>
    <w:p w:rsidR="00EA21E3" w:rsidRPr="00EA21E3" w:rsidRDefault="00EA21E3" w:rsidP="006666B9">
      <w:pPr>
        <w:spacing w:before="100" w:beforeAutospacing="1" w:after="100" w:afterAutospacing="1" w:line="360" w:lineRule="auto"/>
        <w:jc w:val="left"/>
        <w:rPr>
          <w:rFonts w:ascii="Times New Roman" w:eastAsia="Times New Roman" w:hAnsi="Times New Roman" w:cs="Times New Roman"/>
          <w:szCs w:val="24"/>
        </w:rPr>
      </w:pPr>
      <w:r>
        <w:rPr>
          <w:rFonts w:ascii="Times New Roman" w:hAnsi="Times New Roman"/>
          <w:szCs w:val="24"/>
        </w:rPr>
        <w:t xml:space="preserve">Under Article 5(3) of the Treaty on European Union, </w:t>
      </w:r>
      <w:r w:rsidR="0011561B">
        <w:rPr>
          <w:rFonts w:ascii="Times New Roman" w:hAnsi="Times New Roman"/>
          <w:szCs w:val="24"/>
        </w:rPr>
        <w:t xml:space="preserve">the Union is given authority to take action </w:t>
      </w:r>
      <w:r>
        <w:rPr>
          <w:rFonts w:ascii="Times New Roman" w:hAnsi="Times New Roman"/>
          <w:szCs w:val="24"/>
        </w:rPr>
        <w:t>in areas outside its exclusive competence only if and insofar as the desired objectives cannot be sufficiently achieved by the member states. However, this general clause has never been applied, like so much else that is written in the European treaties. Now would be a good opportunity to use this principle as a new launching point. Since the strategic innovations of the 1990s – that is, using multiple speeds to advance European integration – have failed to achieve their aim, it is now time to take into account the diversity of economic cultures in Europe and to unite the continent along a variety of paths.</w:t>
      </w:r>
      <w:r w:rsidR="00E56D5A">
        <w:rPr>
          <w:rFonts w:ascii="Times New Roman" w:hAnsi="Times New Roman"/>
          <w:szCs w:val="24"/>
        </w:rPr>
        <w:t xml:space="preserve"> Irony of history: it</w:t>
      </w:r>
      <w:r w:rsidR="00B35FA7">
        <w:rPr>
          <w:rFonts w:ascii="Times New Roman" w:hAnsi="Times New Roman"/>
          <w:szCs w:val="24"/>
        </w:rPr>
        <w:t>’</w:t>
      </w:r>
      <w:r w:rsidR="00E56D5A">
        <w:rPr>
          <w:rFonts w:ascii="Times New Roman" w:hAnsi="Times New Roman"/>
          <w:szCs w:val="24"/>
        </w:rPr>
        <w:t xml:space="preserve">s not a new </w:t>
      </w:r>
      <w:r w:rsidR="00B35FA7">
        <w:rPr>
          <w:rFonts w:ascii="Times New Roman" w:hAnsi="Times New Roman"/>
          <w:szCs w:val="24"/>
        </w:rPr>
        <w:t>perception of Europ</w:t>
      </w:r>
      <w:r w:rsidR="00E56D5A">
        <w:rPr>
          <w:rFonts w:ascii="Times New Roman" w:hAnsi="Times New Roman"/>
          <w:szCs w:val="24"/>
        </w:rPr>
        <w:t>ean</w:t>
      </w:r>
      <w:r w:rsidR="00B35FA7">
        <w:rPr>
          <w:rFonts w:ascii="Times New Roman" w:hAnsi="Times New Roman"/>
          <w:szCs w:val="24"/>
        </w:rPr>
        <w:t xml:space="preserve"> integration at all. It was no less than Ludwig Erhard, the German Vice-Chancellor, who in 1959 was firmly convinced, that “Europe should drive on many wheels and not on one axis”.</w:t>
      </w:r>
    </w:p>
    <w:p w:rsidR="00140DDE" w:rsidRPr="006666B9" w:rsidRDefault="00140DDE" w:rsidP="006666B9">
      <w:pPr>
        <w:spacing w:line="360" w:lineRule="auto"/>
        <w:rPr>
          <w:lang w:val="en-US"/>
        </w:rPr>
      </w:pPr>
    </w:p>
    <w:sectPr w:rsidR="00140DDE" w:rsidRPr="006666B9" w:rsidSect="003C5BE3">
      <w:headerReference w:type="defaul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B9" w:rsidRDefault="006666B9" w:rsidP="006666B9">
      <w:pPr>
        <w:spacing w:line="240" w:lineRule="auto"/>
      </w:pPr>
      <w:r>
        <w:separator/>
      </w:r>
    </w:p>
  </w:endnote>
  <w:endnote w:type="continuationSeparator" w:id="0">
    <w:p w:rsidR="006666B9" w:rsidRDefault="006666B9" w:rsidP="00666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B9" w:rsidRDefault="006666B9" w:rsidP="006666B9">
      <w:pPr>
        <w:spacing w:line="240" w:lineRule="auto"/>
      </w:pPr>
      <w:r>
        <w:separator/>
      </w:r>
    </w:p>
  </w:footnote>
  <w:footnote w:type="continuationSeparator" w:id="0">
    <w:p w:rsidR="006666B9" w:rsidRDefault="006666B9" w:rsidP="006666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345633"/>
      <w:docPartObj>
        <w:docPartGallery w:val="Page Numbers (Top of Page)"/>
        <w:docPartUnique/>
      </w:docPartObj>
    </w:sdtPr>
    <w:sdtEndPr/>
    <w:sdtContent>
      <w:p w:rsidR="006666B9" w:rsidRDefault="006666B9">
        <w:pPr>
          <w:pStyle w:val="Kopfzeile"/>
          <w:jc w:val="center"/>
        </w:pPr>
        <w:r>
          <w:fldChar w:fldCharType="begin"/>
        </w:r>
        <w:r>
          <w:instrText>PAGE   \* MERGEFORMAT</w:instrText>
        </w:r>
        <w:r>
          <w:fldChar w:fldCharType="separate"/>
        </w:r>
        <w:r w:rsidR="00F150ED" w:rsidRPr="00F150ED">
          <w:rPr>
            <w:noProof/>
            <w:lang w:val="de-DE"/>
          </w:rPr>
          <w:t>10</w:t>
        </w:r>
        <w:r>
          <w:fldChar w:fldCharType="end"/>
        </w:r>
      </w:p>
    </w:sdtContent>
  </w:sdt>
  <w:p w:rsidR="006666B9" w:rsidRDefault="006666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0B38"/>
    <w:multiLevelType w:val="multilevel"/>
    <w:tmpl w:val="421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53139"/>
    <w:multiLevelType w:val="multilevel"/>
    <w:tmpl w:val="41FE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E3"/>
    <w:rsid w:val="00034561"/>
    <w:rsid w:val="00035984"/>
    <w:rsid w:val="0011561B"/>
    <w:rsid w:val="00140DDE"/>
    <w:rsid w:val="002A114D"/>
    <w:rsid w:val="00390EFE"/>
    <w:rsid w:val="003C5BE3"/>
    <w:rsid w:val="004D0B62"/>
    <w:rsid w:val="005D4875"/>
    <w:rsid w:val="005E0074"/>
    <w:rsid w:val="006550C5"/>
    <w:rsid w:val="006666B9"/>
    <w:rsid w:val="006C168F"/>
    <w:rsid w:val="007B0C54"/>
    <w:rsid w:val="00814A01"/>
    <w:rsid w:val="008A57CB"/>
    <w:rsid w:val="008E1E07"/>
    <w:rsid w:val="0097253C"/>
    <w:rsid w:val="00A95ED9"/>
    <w:rsid w:val="00B35FA7"/>
    <w:rsid w:val="00B42628"/>
    <w:rsid w:val="00B560D7"/>
    <w:rsid w:val="00B67F77"/>
    <w:rsid w:val="00CB40F4"/>
    <w:rsid w:val="00CC3690"/>
    <w:rsid w:val="00D661D9"/>
    <w:rsid w:val="00E55699"/>
    <w:rsid w:val="00E56D5A"/>
    <w:rsid w:val="00EA21E3"/>
    <w:rsid w:val="00F150ED"/>
    <w:rsid w:val="00FB2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A21E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character" w:customStyle="1" w:styleId="berschrift2Zchn">
    <w:name w:val="Überschrift 2 Zchn"/>
    <w:basedOn w:val="Absatz-Standardschriftart"/>
    <w:link w:val="berschrift2"/>
    <w:uiPriority w:val="9"/>
    <w:rsid w:val="00EA21E3"/>
    <w:rPr>
      <w:rFonts w:ascii="Times New Roman" w:eastAsia="Times New Roman" w:hAnsi="Times New Roman" w:cs="Times New Roman"/>
      <w:b/>
      <w:bCs/>
      <w:sz w:val="36"/>
      <w:szCs w:val="36"/>
      <w:lang w:eastAsia="de-DE"/>
    </w:rPr>
  </w:style>
  <w:style w:type="character" w:customStyle="1" w:styleId="stichwort">
    <w:name w:val="stichwort"/>
    <w:basedOn w:val="Absatz-Standardschriftart"/>
    <w:rsid w:val="00EA21E3"/>
  </w:style>
  <w:style w:type="paragraph" w:customStyle="1" w:styleId="copy">
    <w:name w:val="copy"/>
    <w:basedOn w:val="Standar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autor">
    <w:name w:val="autor"/>
    <w:basedOn w:val="Absatz-Standardschriftart"/>
    <w:rsid w:val="00EA21E3"/>
  </w:style>
  <w:style w:type="character" w:customStyle="1" w:styleId="datum">
    <w:name w:val="datum"/>
    <w:basedOn w:val="Absatz-Standardschriftart"/>
    <w:rsid w:val="00EA21E3"/>
  </w:style>
  <w:style w:type="character" w:customStyle="1" w:styleId="caps">
    <w:name w:val="caps"/>
    <w:basedOn w:val="Absatz-Standardschriftart"/>
    <w:rsid w:val="00EA21E3"/>
  </w:style>
  <w:style w:type="character" w:styleId="Hyperlink">
    <w:name w:val="Hyperlink"/>
    <w:basedOn w:val="Absatz-Standardschriftart"/>
    <w:uiPriority w:val="99"/>
    <w:semiHidden/>
    <w:unhideWhenUsed/>
    <w:rsid w:val="00EA21E3"/>
    <w:rPr>
      <w:color w:val="0000FF"/>
      <w:u w:val="single"/>
    </w:rPr>
  </w:style>
  <w:style w:type="character" w:customStyle="1" w:styleId="text">
    <w:name w:val="text"/>
    <w:basedOn w:val="Absatz-Standardschriftart"/>
    <w:rsid w:val="00EA21E3"/>
  </w:style>
  <w:style w:type="character" w:customStyle="1" w:styleId="bildnachweis">
    <w:name w:val="bildnachweis"/>
    <w:basedOn w:val="Absatz-Standardschriftart"/>
    <w:rsid w:val="00EA21E3"/>
  </w:style>
  <w:style w:type="paragraph" w:customStyle="1" w:styleId="first">
    <w:name w:val="first"/>
    <w:basedOn w:val="Standar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styleId="StandardWeb">
    <w:name w:val="Normal (Web)"/>
    <w:basedOn w:val="Standard"/>
    <w:uiPriority w:val="99"/>
    <w:semiHidden/>
    <w:unhideWhenUse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quelle">
    <w:name w:val="quelle"/>
    <w:basedOn w:val="Absatz-Standardschriftart"/>
    <w:rsid w:val="00EA21E3"/>
  </w:style>
  <w:style w:type="paragraph" w:styleId="Sprechblasentext">
    <w:name w:val="Balloon Text"/>
    <w:basedOn w:val="Standard"/>
    <w:link w:val="SprechblasentextZchn"/>
    <w:uiPriority w:val="99"/>
    <w:semiHidden/>
    <w:unhideWhenUsed/>
    <w:rsid w:val="00EA21E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1E3"/>
    <w:rPr>
      <w:rFonts w:ascii="Tahoma" w:hAnsi="Tahoma" w:cs="Tahoma"/>
      <w:sz w:val="16"/>
      <w:szCs w:val="16"/>
    </w:rPr>
  </w:style>
  <w:style w:type="character" w:customStyle="1" w:styleId="ressortkennung">
    <w:name w:val="ressortkennung"/>
    <w:basedOn w:val="Absatz-Standardschriftart"/>
    <w:rsid w:val="00EA21E3"/>
  </w:style>
  <w:style w:type="paragraph" w:styleId="z-Formularbeginn">
    <w:name w:val="HTML Top of Form"/>
    <w:basedOn w:val="Standard"/>
    <w:next w:val="Standard"/>
    <w:link w:val="z-FormularbeginnZchn"/>
    <w:hidden/>
    <w:uiPriority w:val="99"/>
    <w:semiHidden/>
    <w:unhideWhenUsed/>
    <w:rsid w:val="00EA21E3"/>
    <w:pPr>
      <w:pBdr>
        <w:bottom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A21E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A21E3"/>
    <w:pPr>
      <w:pBdr>
        <w:top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A21E3"/>
    <w:rPr>
      <w:rFonts w:ascii="Arial" w:eastAsia="Times New Roman" w:hAnsi="Arial" w:cs="Arial"/>
      <w:vanish/>
      <w:sz w:val="16"/>
      <w:szCs w:val="16"/>
      <w:lang w:eastAsia="de-DE"/>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pfzeile">
    <w:name w:val="header"/>
    <w:basedOn w:val="Standard"/>
    <w:link w:val="KopfzeileZchn"/>
    <w:uiPriority w:val="99"/>
    <w:unhideWhenUsed/>
    <w:rsid w:val="006666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66B9"/>
  </w:style>
  <w:style w:type="paragraph" w:styleId="Fuzeile">
    <w:name w:val="footer"/>
    <w:basedOn w:val="Standard"/>
    <w:link w:val="FuzeileZchn"/>
    <w:uiPriority w:val="99"/>
    <w:unhideWhenUsed/>
    <w:rsid w:val="006666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6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A21E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character" w:customStyle="1" w:styleId="berschrift2Zchn">
    <w:name w:val="Überschrift 2 Zchn"/>
    <w:basedOn w:val="Absatz-Standardschriftart"/>
    <w:link w:val="berschrift2"/>
    <w:uiPriority w:val="9"/>
    <w:rsid w:val="00EA21E3"/>
    <w:rPr>
      <w:rFonts w:ascii="Times New Roman" w:eastAsia="Times New Roman" w:hAnsi="Times New Roman" w:cs="Times New Roman"/>
      <w:b/>
      <w:bCs/>
      <w:sz w:val="36"/>
      <w:szCs w:val="36"/>
      <w:lang w:eastAsia="de-DE"/>
    </w:rPr>
  </w:style>
  <w:style w:type="character" w:customStyle="1" w:styleId="stichwort">
    <w:name w:val="stichwort"/>
    <w:basedOn w:val="Absatz-Standardschriftart"/>
    <w:rsid w:val="00EA21E3"/>
  </w:style>
  <w:style w:type="paragraph" w:customStyle="1" w:styleId="copy">
    <w:name w:val="copy"/>
    <w:basedOn w:val="Standar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autor">
    <w:name w:val="autor"/>
    <w:basedOn w:val="Absatz-Standardschriftart"/>
    <w:rsid w:val="00EA21E3"/>
  </w:style>
  <w:style w:type="character" w:customStyle="1" w:styleId="datum">
    <w:name w:val="datum"/>
    <w:basedOn w:val="Absatz-Standardschriftart"/>
    <w:rsid w:val="00EA21E3"/>
  </w:style>
  <w:style w:type="character" w:customStyle="1" w:styleId="caps">
    <w:name w:val="caps"/>
    <w:basedOn w:val="Absatz-Standardschriftart"/>
    <w:rsid w:val="00EA21E3"/>
  </w:style>
  <w:style w:type="character" w:styleId="Hyperlink">
    <w:name w:val="Hyperlink"/>
    <w:basedOn w:val="Absatz-Standardschriftart"/>
    <w:uiPriority w:val="99"/>
    <w:semiHidden/>
    <w:unhideWhenUsed/>
    <w:rsid w:val="00EA21E3"/>
    <w:rPr>
      <w:color w:val="0000FF"/>
      <w:u w:val="single"/>
    </w:rPr>
  </w:style>
  <w:style w:type="character" w:customStyle="1" w:styleId="text">
    <w:name w:val="text"/>
    <w:basedOn w:val="Absatz-Standardschriftart"/>
    <w:rsid w:val="00EA21E3"/>
  </w:style>
  <w:style w:type="character" w:customStyle="1" w:styleId="bildnachweis">
    <w:name w:val="bildnachweis"/>
    <w:basedOn w:val="Absatz-Standardschriftart"/>
    <w:rsid w:val="00EA21E3"/>
  </w:style>
  <w:style w:type="paragraph" w:customStyle="1" w:styleId="first">
    <w:name w:val="first"/>
    <w:basedOn w:val="Standar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styleId="StandardWeb">
    <w:name w:val="Normal (Web)"/>
    <w:basedOn w:val="Standard"/>
    <w:uiPriority w:val="99"/>
    <w:semiHidden/>
    <w:unhideWhenUse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quelle">
    <w:name w:val="quelle"/>
    <w:basedOn w:val="Absatz-Standardschriftart"/>
    <w:rsid w:val="00EA21E3"/>
  </w:style>
  <w:style w:type="paragraph" w:styleId="Sprechblasentext">
    <w:name w:val="Balloon Text"/>
    <w:basedOn w:val="Standard"/>
    <w:link w:val="SprechblasentextZchn"/>
    <w:uiPriority w:val="99"/>
    <w:semiHidden/>
    <w:unhideWhenUsed/>
    <w:rsid w:val="00EA21E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1E3"/>
    <w:rPr>
      <w:rFonts w:ascii="Tahoma" w:hAnsi="Tahoma" w:cs="Tahoma"/>
      <w:sz w:val="16"/>
      <w:szCs w:val="16"/>
    </w:rPr>
  </w:style>
  <w:style w:type="character" w:customStyle="1" w:styleId="ressortkennung">
    <w:name w:val="ressortkennung"/>
    <w:basedOn w:val="Absatz-Standardschriftart"/>
    <w:rsid w:val="00EA21E3"/>
  </w:style>
  <w:style w:type="paragraph" w:styleId="z-Formularbeginn">
    <w:name w:val="HTML Top of Form"/>
    <w:basedOn w:val="Standard"/>
    <w:next w:val="Standard"/>
    <w:link w:val="z-FormularbeginnZchn"/>
    <w:hidden/>
    <w:uiPriority w:val="99"/>
    <w:semiHidden/>
    <w:unhideWhenUsed/>
    <w:rsid w:val="00EA21E3"/>
    <w:pPr>
      <w:pBdr>
        <w:bottom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A21E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A21E3"/>
    <w:pPr>
      <w:pBdr>
        <w:top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A21E3"/>
    <w:rPr>
      <w:rFonts w:ascii="Arial" w:eastAsia="Times New Roman" w:hAnsi="Arial" w:cs="Arial"/>
      <w:vanish/>
      <w:sz w:val="16"/>
      <w:szCs w:val="16"/>
      <w:lang w:eastAsia="de-DE"/>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pfzeile">
    <w:name w:val="header"/>
    <w:basedOn w:val="Standard"/>
    <w:link w:val="KopfzeileZchn"/>
    <w:uiPriority w:val="99"/>
    <w:unhideWhenUsed/>
    <w:rsid w:val="006666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66B9"/>
  </w:style>
  <w:style w:type="paragraph" w:styleId="Fuzeile">
    <w:name w:val="footer"/>
    <w:basedOn w:val="Standard"/>
    <w:link w:val="FuzeileZchn"/>
    <w:uiPriority w:val="99"/>
    <w:unhideWhenUsed/>
    <w:rsid w:val="006666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40482">
      <w:bodyDiv w:val="1"/>
      <w:marLeft w:val="0"/>
      <w:marRight w:val="0"/>
      <w:marTop w:val="0"/>
      <w:marBottom w:val="0"/>
      <w:divBdr>
        <w:top w:val="none" w:sz="0" w:space="0" w:color="auto"/>
        <w:left w:val="none" w:sz="0" w:space="0" w:color="auto"/>
        <w:bottom w:val="none" w:sz="0" w:space="0" w:color="auto"/>
        <w:right w:val="none" w:sz="0" w:space="0" w:color="auto"/>
      </w:divBdr>
      <w:divsChild>
        <w:div w:id="1159422353">
          <w:marLeft w:val="0"/>
          <w:marRight w:val="0"/>
          <w:marTop w:val="0"/>
          <w:marBottom w:val="0"/>
          <w:divBdr>
            <w:top w:val="none" w:sz="0" w:space="0" w:color="auto"/>
            <w:left w:val="none" w:sz="0" w:space="0" w:color="auto"/>
            <w:bottom w:val="none" w:sz="0" w:space="0" w:color="auto"/>
            <w:right w:val="none" w:sz="0" w:space="0" w:color="auto"/>
          </w:divBdr>
          <w:divsChild>
            <w:div w:id="995105449">
              <w:marLeft w:val="0"/>
              <w:marRight w:val="0"/>
              <w:marTop w:val="0"/>
              <w:marBottom w:val="0"/>
              <w:divBdr>
                <w:top w:val="none" w:sz="0" w:space="0" w:color="auto"/>
                <w:left w:val="none" w:sz="0" w:space="0" w:color="auto"/>
                <w:bottom w:val="none" w:sz="0" w:space="0" w:color="auto"/>
                <w:right w:val="none" w:sz="0" w:space="0" w:color="auto"/>
              </w:divBdr>
            </w:div>
          </w:divsChild>
        </w:div>
        <w:div w:id="387388332">
          <w:marLeft w:val="0"/>
          <w:marRight w:val="0"/>
          <w:marTop w:val="0"/>
          <w:marBottom w:val="0"/>
          <w:divBdr>
            <w:top w:val="none" w:sz="0" w:space="0" w:color="auto"/>
            <w:left w:val="none" w:sz="0" w:space="0" w:color="auto"/>
            <w:bottom w:val="none" w:sz="0" w:space="0" w:color="auto"/>
            <w:right w:val="none" w:sz="0" w:space="0" w:color="auto"/>
          </w:divBdr>
          <w:divsChild>
            <w:div w:id="886914573">
              <w:marLeft w:val="0"/>
              <w:marRight w:val="0"/>
              <w:marTop w:val="0"/>
              <w:marBottom w:val="0"/>
              <w:divBdr>
                <w:top w:val="none" w:sz="0" w:space="0" w:color="auto"/>
                <w:left w:val="none" w:sz="0" w:space="0" w:color="auto"/>
                <w:bottom w:val="none" w:sz="0" w:space="0" w:color="auto"/>
                <w:right w:val="none" w:sz="0" w:space="0" w:color="auto"/>
              </w:divBdr>
              <w:divsChild>
                <w:div w:id="2225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1680">
      <w:bodyDiv w:val="1"/>
      <w:marLeft w:val="0"/>
      <w:marRight w:val="0"/>
      <w:marTop w:val="0"/>
      <w:marBottom w:val="0"/>
      <w:divBdr>
        <w:top w:val="none" w:sz="0" w:space="0" w:color="auto"/>
        <w:left w:val="none" w:sz="0" w:space="0" w:color="auto"/>
        <w:bottom w:val="none" w:sz="0" w:space="0" w:color="auto"/>
        <w:right w:val="none" w:sz="0" w:space="0" w:color="auto"/>
      </w:divBdr>
      <w:divsChild>
        <w:div w:id="1905994424">
          <w:marLeft w:val="0"/>
          <w:marRight w:val="0"/>
          <w:marTop w:val="0"/>
          <w:marBottom w:val="0"/>
          <w:divBdr>
            <w:top w:val="none" w:sz="0" w:space="0" w:color="auto"/>
            <w:left w:val="none" w:sz="0" w:space="0" w:color="auto"/>
            <w:bottom w:val="none" w:sz="0" w:space="0" w:color="auto"/>
            <w:right w:val="none" w:sz="0" w:space="0" w:color="auto"/>
          </w:divBdr>
          <w:divsChild>
            <w:div w:id="400635777">
              <w:marLeft w:val="0"/>
              <w:marRight w:val="0"/>
              <w:marTop w:val="0"/>
              <w:marBottom w:val="0"/>
              <w:divBdr>
                <w:top w:val="none" w:sz="0" w:space="0" w:color="auto"/>
                <w:left w:val="none" w:sz="0" w:space="0" w:color="auto"/>
                <w:bottom w:val="none" w:sz="0" w:space="0" w:color="auto"/>
                <w:right w:val="none" w:sz="0" w:space="0" w:color="auto"/>
              </w:divBdr>
            </w:div>
          </w:divsChild>
        </w:div>
        <w:div w:id="403841640">
          <w:marLeft w:val="0"/>
          <w:marRight w:val="0"/>
          <w:marTop w:val="0"/>
          <w:marBottom w:val="0"/>
          <w:divBdr>
            <w:top w:val="none" w:sz="0" w:space="0" w:color="auto"/>
            <w:left w:val="none" w:sz="0" w:space="0" w:color="auto"/>
            <w:bottom w:val="none" w:sz="0" w:space="0" w:color="auto"/>
            <w:right w:val="none" w:sz="0" w:space="0" w:color="auto"/>
          </w:divBdr>
          <w:divsChild>
            <w:div w:id="1841891787">
              <w:marLeft w:val="0"/>
              <w:marRight w:val="0"/>
              <w:marTop w:val="0"/>
              <w:marBottom w:val="0"/>
              <w:divBdr>
                <w:top w:val="none" w:sz="0" w:space="0" w:color="auto"/>
                <w:left w:val="none" w:sz="0" w:space="0" w:color="auto"/>
                <w:bottom w:val="none" w:sz="0" w:space="0" w:color="auto"/>
                <w:right w:val="none" w:sz="0" w:space="0" w:color="auto"/>
              </w:divBdr>
              <w:divsChild>
                <w:div w:id="1312170362">
                  <w:marLeft w:val="0"/>
                  <w:marRight w:val="0"/>
                  <w:marTop w:val="0"/>
                  <w:marBottom w:val="0"/>
                  <w:divBdr>
                    <w:top w:val="none" w:sz="0" w:space="0" w:color="auto"/>
                    <w:left w:val="none" w:sz="0" w:space="0" w:color="auto"/>
                    <w:bottom w:val="none" w:sz="0" w:space="0" w:color="auto"/>
                    <w:right w:val="none" w:sz="0" w:space="0" w:color="auto"/>
                  </w:divBdr>
                  <w:divsChild>
                    <w:div w:id="1862664671">
                      <w:marLeft w:val="0"/>
                      <w:marRight w:val="0"/>
                      <w:marTop w:val="0"/>
                      <w:marBottom w:val="0"/>
                      <w:divBdr>
                        <w:top w:val="none" w:sz="0" w:space="0" w:color="auto"/>
                        <w:left w:val="none" w:sz="0" w:space="0" w:color="auto"/>
                        <w:bottom w:val="none" w:sz="0" w:space="0" w:color="auto"/>
                        <w:right w:val="none" w:sz="0" w:space="0" w:color="auto"/>
                      </w:divBdr>
                    </w:div>
                  </w:divsChild>
                </w:div>
                <w:div w:id="1365669309">
                  <w:marLeft w:val="0"/>
                  <w:marRight w:val="0"/>
                  <w:marTop w:val="0"/>
                  <w:marBottom w:val="0"/>
                  <w:divBdr>
                    <w:top w:val="none" w:sz="0" w:space="0" w:color="auto"/>
                    <w:left w:val="none" w:sz="0" w:space="0" w:color="auto"/>
                    <w:bottom w:val="none" w:sz="0" w:space="0" w:color="auto"/>
                    <w:right w:val="none" w:sz="0" w:space="0" w:color="auto"/>
                  </w:divBdr>
                </w:div>
                <w:div w:id="274093328">
                  <w:marLeft w:val="0"/>
                  <w:marRight w:val="0"/>
                  <w:marTop w:val="0"/>
                  <w:marBottom w:val="0"/>
                  <w:divBdr>
                    <w:top w:val="none" w:sz="0" w:space="0" w:color="auto"/>
                    <w:left w:val="none" w:sz="0" w:space="0" w:color="auto"/>
                    <w:bottom w:val="none" w:sz="0" w:space="0" w:color="auto"/>
                    <w:right w:val="none" w:sz="0" w:space="0" w:color="auto"/>
                  </w:divBdr>
                  <w:divsChild>
                    <w:div w:id="404764669">
                      <w:marLeft w:val="0"/>
                      <w:marRight w:val="0"/>
                      <w:marTop w:val="0"/>
                      <w:marBottom w:val="0"/>
                      <w:divBdr>
                        <w:top w:val="none" w:sz="0" w:space="0" w:color="auto"/>
                        <w:left w:val="none" w:sz="0" w:space="0" w:color="auto"/>
                        <w:bottom w:val="none" w:sz="0" w:space="0" w:color="auto"/>
                        <w:right w:val="none" w:sz="0" w:space="0" w:color="auto"/>
                      </w:divBdr>
                      <w:divsChild>
                        <w:div w:id="2438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8403">
              <w:marLeft w:val="0"/>
              <w:marRight w:val="0"/>
              <w:marTop w:val="0"/>
              <w:marBottom w:val="0"/>
              <w:divBdr>
                <w:top w:val="none" w:sz="0" w:space="0" w:color="auto"/>
                <w:left w:val="none" w:sz="0" w:space="0" w:color="auto"/>
                <w:bottom w:val="none" w:sz="0" w:space="0" w:color="auto"/>
                <w:right w:val="none" w:sz="0" w:space="0" w:color="auto"/>
              </w:divBdr>
              <w:divsChild>
                <w:div w:id="913590711">
                  <w:marLeft w:val="0"/>
                  <w:marRight w:val="0"/>
                  <w:marTop w:val="0"/>
                  <w:marBottom w:val="0"/>
                  <w:divBdr>
                    <w:top w:val="none" w:sz="0" w:space="0" w:color="auto"/>
                    <w:left w:val="none" w:sz="0" w:space="0" w:color="auto"/>
                    <w:bottom w:val="none" w:sz="0" w:space="0" w:color="auto"/>
                    <w:right w:val="none" w:sz="0" w:space="0" w:color="auto"/>
                  </w:divBdr>
                  <w:divsChild>
                    <w:div w:id="9744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3321</Words>
  <Characters>20926</Characters>
  <Application>Microsoft Office Word</Application>
  <DocSecurity>4</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Bundesministerium der Finanzen</Company>
  <LinksUpToDate>false</LinksUpToDate>
  <CharactersWithSpaces>24199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AbelPro1</dc:creator>
  <cp:lastModifiedBy>joe</cp:lastModifiedBy>
  <cp:revision>2</cp:revision>
  <dcterms:created xsi:type="dcterms:W3CDTF">2017-09-06T16:03:00Z</dcterms:created>
  <dcterms:modified xsi:type="dcterms:W3CDTF">2017-09-06T16:03:00Z</dcterms:modified>
</cp:coreProperties>
</file>